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4E5B76" w14:textId="27929C86" w:rsidR="004A6B62" w:rsidRPr="00071150" w:rsidRDefault="00071150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Komplexní pozemkové úpravy v k.ú. </w:t>
      </w:r>
      <w:r w:rsidRPr="00071150">
        <w:rPr>
          <w:b/>
          <w:bCs/>
          <w:sz w:val="32"/>
          <w:szCs w:val="32"/>
        </w:rPr>
        <w:t>Libštát</w:t>
      </w:r>
    </w:p>
    <w:p w14:paraId="429A439A" w14:textId="7327021C" w:rsidR="00071150" w:rsidRDefault="00071150">
      <w:pPr>
        <w:rPr>
          <w:sz w:val="28"/>
          <w:szCs w:val="28"/>
        </w:rPr>
      </w:pPr>
      <w:r w:rsidRPr="00071150">
        <w:rPr>
          <w:sz w:val="28"/>
          <w:szCs w:val="28"/>
        </w:rPr>
        <w:t>Návrh nového uspořádání pro LV280 – p. Vinklář</w:t>
      </w:r>
    </w:p>
    <w:p w14:paraId="41178134" w14:textId="77777777" w:rsidR="00B12F94" w:rsidRDefault="00B12F94">
      <w:pPr>
        <w:rPr>
          <w:sz w:val="28"/>
          <w:szCs w:val="28"/>
        </w:rPr>
      </w:pPr>
    </w:p>
    <w:p w14:paraId="1DD83557" w14:textId="0EA09045" w:rsidR="005C7985" w:rsidRDefault="00C2716C" w:rsidP="005C7985">
      <w:pPr>
        <w:jc w:val="both"/>
        <w:rPr>
          <w:rFonts w:cstheme="minorHAnsi"/>
          <w:color w:val="000000"/>
          <w:sz w:val="24"/>
          <w:szCs w:val="24"/>
          <w:shd w:val="clear" w:color="auto" w:fill="FFFFFF"/>
        </w:rPr>
      </w:pPr>
      <w:r>
        <w:rPr>
          <w:rFonts w:cstheme="minorHAnsi"/>
          <w:color w:val="000000"/>
          <w:sz w:val="24"/>
          <w:szCs w:val="24"/>
          <w:shd w:val="clear" w:color="auto" w:fill="FFFFFF"/>
        </w:rPr>
        <w:t>Majetkoprávní v</w:t>
      </w:r>
      <w:r w:rsidR="005C7985">
        <w:rPr>
          <w:rFonts w:cstheme="minorHAnsi"/>
          <w:color w:val="000000"/>
          <w:sz w:val="24"/>
          <w:szCs w:val="24"/>
          <w:shd w:val="clear" w:color="auto" w:fill="FFFFFF"/>
        </w:rPr>
        <w:t>ypořádání cest, které jsou</w:t>
      </w:r>
      <w:r w:rsidR="00B61742">
        <w:rPr>
          <w:rFonts w:cstheme="minorHAnsi"/>
          <w:color w:val="000000"/>
          <w:sz w:val="24"/>
          <w:szCs w:val="24"/>
          <w:shd w:val="clear" w:color="auto" w:fill="FFFFFF"/>
        </w:rPr>
        <w:t xml:space="preserve"> nezbytné</w:t>
      </w:r>
      <w:r w:rsidR="005C7985">
        <w:rPr>
          <w:rFonts w:cstheme="minorHAnsi"/>
          <w:color w:val="000000"/>
          <w:sz w:val="24"/>
          <w:szCs w:val="24"/>
          <w:shd w:val="clear" w:color="auto" w:fill="FFFFFF"/>
        </w:rPr>
        <w:t xml:space="preserve"> pro přístupnost vlastníků, ale</w:t>
      </w:r>
      <w:r w:rsidR="00B61742">
        <w:rPr>
          <w:rFonts w:cstheme="minorHAnsi"/>
          <w:color w:val="000000"/>
          <w:sz w:val="24"/>
          <w:szCs w:val="24"/>
          <w:shd w:val="clear" w:color="auto" w:fill="FFFFFF"/>
        </w:rPr>
        <w:t> </w:t>
      </w:r>
      <w:r w:rsidR="005C7985">
        <w:rPr>
          <w:rFonts w:cstheme="minorHAnsi"/>
          <w:color w:val="000000"/>
          <w:sz w:val="24"/>
          <w:szCs w:val="24"/>
          <w:shd w:val="clear" w:color="auto" w:fill="FFFFFF"/>
        </w:rPr>
        <w:t>i</w:t>
      </w:r>
      <w:r w:rsidR="00B61742">
        <w:rPr>
          <w:rFonts w:cstheme="minorHAnsi"/>
          <w:color w:val="000000"/>
          <w:sz w:val="24"/>
          <w:szCs w:val="24"/>
          <w:shd w:val="clear" w:color="auto" w:fill="FFFFFF"/>
        </w:rPr>
        <w:t> </w:t>
      </w:r>
      <w:r w:rsidR="005C7985">
        <w:rPr>
          <w:rFonts w:cstheme="minorHAnsi"/>
          <w:color w:val="000000"/>
          <w:sz w:val="24"/>
          <w:szCs w:val="24"/>
          <w:shd w:val="clear" w:color="auto" w:fill="FFFFFF"/>
        </w:rPr>
        <w:t>prostupnost krajiny do</w:t>
      </w:r>
      <w:r w:rsidR="00A2201B">
        <w:rPr>
          <w:rFonts w:cstheme="minorHAnsi"/>
          <w:color w:val="000000"/>
          <w:sz w:val="24"/>
          <w:szCs w:val="24"/>
          <w:shd w:val="clear" w:color="auto" w:fill="FFFFFF"/>
        </w:rPr>
        <w:t> </w:t>
      </w:r>
      <w:r w:rsidR="005C7985">
        <w:rPr>
          <w:rFonts w:cstheme="minorHAnsi"/>
          <w:color w:val="000000"/>
          <w:sz w:val="24"/>
          <w:szCs w:val="24"/>
          <w:shd w:val="clear" w:color="auto" w:fill="FFFFFF"/>
        </w:rPr>
        <w:t xml:space="preserve">vlastnictví obce, je jedním z hlavních cílů pozemkových úprav. </w:t>
      </w:r>
      <w:r w:rsidR="00B61742">
        <w:rPr>
          <w:rFonts w:cstheme="minorHAnsi"/>
          <w:color w:val="000000"/>
          <w:sz w:val="24"/>
          <w:szCs w:val="24"/>
          <w:shd w:val="clear" w:color="auto" w:fill="FFFFFF"/>
        </w:rPr>
        <w:t>Bez</w:t>
      </w:r>
      <w:r w:rsidR="00173C1A">
        <w:rPr>
          <w:rFonts w:cstheme="minorHAnsi"/>
          <w:color w:val="000000"/>
          <w:sz w:val="24"/>
          <w:szCs w:val="24"/>
          <w:shd w:val="clear" w:color="auto" w:fill="FFFFFF"/>
        </w:rPr>
        <w:t> </w:t>
      </w:r>
      <w:r w:rsidR="00B61742">
        <w:rPr>
          <w:rFonts w:cstheme="minorHAnsi"/>
          <w:color w:val="000000"/>
          <w:sz w:val="24"/>
          <w:szCs w:val="24"/>
          <w:shd w:val="clear" w:color="auto" w:fill="FFFFFF"/>
        </w:rPr>
        <w:t xml:space="preserve">majetkoprávního vypořádání </w:t>
      </w:r>
      <w:r w:rsidR="00173C1A">
        <w:rPr>
          <w:rFonts w:cstheme="minorHAnsi"/>
          <w:color w:val="000000"/>
          <w:sz w:val="24"/>
          <w:szCs w:val="24"/>
          <w:shd w:val="clear" w:color="auto" w:fill="FFFFFF"/>
        </w:rPr>
        <w:t>je pro obec velmi problematické</w:t>
      </w:r>
      <w:r w:rsidR="00B61742">
        <w:rPr>
          <w:rFonts w:cstheme="minorHAnsi"/>
          <w:color w:val="000000"/>
          <w:sz w:val="24"/>
          <w:szCs w:val="24"/>
          <w:shd w:val="clear" w:color="auto" w:fill="FFFFFF"/>
        </w:rPr>
        <w:t>, aby zajistila dobrý stav cest</w:t>
      </w:r>
      <w:r w:rsidR="00173C1A">
        <w:rPr>
          <w:rFonts w:cstheme="minorHAnsi"/>
          <w:color w:val="000000"/>
          <w:sz w:val="24"/>
          <w:szCs w:val="24"/>
          <w:shd w:val="clear" w:color="auto" w:fill="FFFFFF"/>
        </w:rPr>
        <w:t xml:space="preserve">, neboť na cesty v soukromém vlastnictví není </w:t>
      </w:r>
      <w:r w:rsidR="00B64A98">
        <w:rPr>
          <w:rFonts w:cstheme="minorHAnsi"/>
          <w:color w:val="000000"/>
          <w:sz w:val="24"/>
          <w:szCs w:val="24"/>
          <w:shd w:val="clear" w:color="auto" w:fill="FFFFFF"/>
        </w:rPr>
        <w:t xml:space="preserve">běžně </w:t>
      </w:r>
      <w:r w:rsidR="00173C1A">
        <w:rPr>
          <w:rFonts w:cstheme="minorHAnsi"/>
          <w:color w:val="000000"/>
          <w:sz w:val="24"/>
          <w:szCs w:val="24"/>
          <w:shd w:val="clear" w:color="auto" w:fill="FFFFFF"/>
        </w:rPr>
        <w:t>možné čerpat dotace.</w:t>
      </w:r>
    </w:p>
    <w:p w14:paraId="60AA62A8" w14:textId="31443524" w:rsidR="005C7985" w:rsidRDefault="005C7985" w:rsidP="005C7985">
      <w:pPr>
        <w:jc w:val="both"/>
        <w:rPr>
          <w:rFonts w:cstheme="minorHAnsi"/>
          <w:color w:val="000000"/>
          <w:sz w:val="24"/>
          <w:szCs w:val="24"/>
          <w:shd w:val="clear" w:color="auto" w:fill="FFFFFF"/>
        </w:rPr>
      </w:pPr>
      <w:r>
        <w:rPr>
          <w:rFonts w:cstheme="minorHAnsi"/>
          <w:color w:val="000000"/>
          <w:sz w:val="24"/>
          <w:szCs w:val="24"/>
          <w:shd w:val="clear" w:color="auto" w:fill="FFFFFF"/>
        </w:rPr>
        <w:t xml:space="preserve">Stejně jako v jiných případech, i </w:t>
      </w:r>
      <w:r w:rsidR="0041371F">
        <w:rPr>
          <w:rFonts w:cstheme="minorHAnsi"/>
          <w:color w:val="000000"/>
          <w:sz w:val="24"/>
          <w:szCs w:val="24"/>
          <w:shd w:val="clear" w:color="auto" w:fill="FFFFFF"/>
        </w:rPr>
        <w:t>v</w:t>
      </w:r>
      <w:r>
        <w:rPr>
          <w:rFonts w:cstheme="minorHAnsi"/>
          <w:color w:val="000000"/>
          <w:sz w:val="24"/>
          <w:szCs w:val="24"/>
          <w:shd w:val="clear" w:color="auto" w:fill="FFFFFF"/>
        </w:rPr>
        <w:t xml:space="preserve"> rámci pozemkových úprav v KoPÚ v k.ú. Libštát byly </w:t>
      </w:r>
      <w:r w:rsidR="00B64A98">
        <w:rPr>
          <w:rFonts w:cstheme="minorHAnsi"/>
          <w:color w:val="000000"/>
          <w:sz w:val="24"/>
          <w:szCs w:val="24"/>
          <w:shd w:val="clear" w:color="auto" w:fill="FFFFFF"/>
        </w:rPr>
        <w:t>nově</w:t>
      </w:r>
      <w:r>
        <w:rPr>
          <w:rFonts w:cstheme="minorHAnsi"/>
          <w:color w:val="000000"/>
          <w:sz w:val="24"/>
          <w:szCs w:val="24"/>
          <w:shd w:val="clear" w:color="auto" w:fill="FFFFFF"/>
        </w:rPr>
        <w:t xml:space="preserve"> navržené cesty nebo cesty navržené k rekonstrukci </w:t>
      </w:r>
      <w:r w:rsidR="0041371F">
        <w:rPr>
          <w:rFonts w:cstheme="minorHAnsi"/>
          <w:color w:val="000000"/>
          <w:sz w:val="24"/>
          <w:szCs w:val="24"/>
          <w:shd w:val="clear" w:color="auto" w:fill="FFFFFF"/>
        </w:rPr>
        <w:t xml:space="preserve">vypořádány </w:t>
      </w:r>
      <w:r>
        <w:rPr>
          <w:rFonts w:cstheme="minorHAnsi"/>
          <w:color w:val="000000"/>
          <w:sz w:val="24"/>
          <w:szCs w:val="24"/>
          <w:shd w:val="clear" w:color="auto" w:fill="FFFFFF"/>
        </w:rPr>
        <w:t xml:space="preserve">do vlastnictví </w:t>
      </w:r>
      <w:r w:rsidR="0041371F">
        <w:rPr>
          <w:rFonts w:cstheme="minorHAnsi"/>
          <w:color w:val="000000"/>
          <w:sz w:val="24"/>
          <w:szCs w:val="24"/>
          <w:shd w:val="clear" w:color="auto" w:fill="FFFFFF"/>
        </w:rPr>
        <w:t>Městysu Libštát</w:t>
      </w:r>
      <w:r>
        <w:rPr>
          <w:rFonts w:cstheme="minorHAnsi"/>
          <w:color w:val="000000"/>
          <w:sz w:val="24"/>
          <w:szCs w:val="24"/>
          <w:shd w:val="clear" w:color="auto" w:fill="FFFFFF"/>
        </w:rPr>
        <w:t xml:space="preserve">. Dotčení vlastníci </w:t>
      </w:r>
      <w:r w:rsidR="00B64A98">
        <w:rPr>
          <w:rFonts w:cstheme="minorHAnsi"/>
          <w:color w:val="000000"/>
          <w:sz w:val="24"/>
          <w:szCs w:val="24"/>
          <w:shd w:val="clear" w:color="auto" w:fill="FFFFFF"/>
        </w:rPr>
        <w:t>dostali</w:t>
      </w:r>
      <w:r w:rsidR="0041371F">
        <w:rPr>
          <w:rFonts w:cstheme="minorHAnsi"/>
          <w:color w:val="000000"/>
          <w:sz w:val="24"/>
          <w:szCs w:val="24"/>
          <w:shd w:val="clear" w:color="auto" w:fill="FFFFFF"/>
        </w:rPr>
        <w:t xml:space="preserve"> v rámci nového uspořádání pozemků za pozemky pod cestami náhradní výměru.</w:t>
      </w:r>
    </w:p>
    <w:p w14:paraId="34CFD889" w14:textId="52387160" w:rsidR="005C7985" w:rsidRDefault="005C7985" w:rsidP="005C7985">
      <w:pPr>
        <w:jc w:val="both"/>
        <w:rPr>
          <w:rFonts w:cstheme="minorHAnsi"/>
          <w:color w:val="000000"/>
          <w:sz w:val="24"/>
          <w:szCs w:val="24"/>
          <w:shd w:val="clear" w:color="auto" w:fill="FFFFFF"/>
        </w:rPr>
      </w:pPr>
      <w:r>
        <w:rPr>
          <w:rFonts w:cstheme="minorHAnsi"/>
          <w:color w:val="000000"/>
          <w:sz w:val="24"/>
          <w:szCs w:val="24"/>
          <w:shd w:val="clear" w:color="auto" w:fill="FFFFFF"/>
        </w:rPr>
        <w:t xml:space="preserve">Návrh nového uspořádání pozemků pro LV280 </w:t>
      </w:r>
      <w:r w:rsidR="0041371F">
        <w:rPr>
          <w:rFonts w:cstheme="minorHAnsi"/>
          <w:color w:val="000000"/>
          <w:sz w:val="24"/>
          <w:szCs w:val="24"/>
          <w:shd w:val="clear" w:color="auto" w:fill="FFFFFF"/>
        </w:rPr>
        <w:t>má bilanci viz obrázek níže.</w:t>
      </w:r>
      <w:r w:rsidR="00A2201B">
        <w:rPr>
          <w:rFonts w:cstheme="minorHAnsi"/>
          <w:color w:val="000000"/>
          <w:sz w:val="24"/>
          <w:szCs w:val="24"/>
          <w:shd w:val="clear" w:color="auto" w:fill="FFFFFF"/>
        </w:rPr>
        <w:t xml:space="preserve"> Pan Vinklář měl nárok na pozemky v celkové výměře 260 420 m</w:t>
      </w:r>
      <w:r w:rsidR="00A2201B" w:rsidRPr="00A2201B">
        <w:rPr>
          <w:rFonts w:cstheme="minorHAnsi"/>
          <w:color w:val="000000"/>
          <w:sz w:val="24"/>
          <w:szCs w:val="24"/>
          <w:shd w:val="clear" w:color="auto" w:fill="FFFFFF"/>
          <w:vertAlign w:val="superscript"/>
        </w:rPr>
        <w:t>2</w:t>
      </w:r>
      <w:r w:rsidR="00A2201B">
        <w:rPr>
          <w:rFonts w:cstheme="minorHAnsi"/>
          <w:color w:val="000000"/>
          <w:sz w:val="24"/>
          <w:szCs w:val="24"/>
          <w:shd w:val="clear" w:color="auto" w:fill="FFFFFF"/>
        </w:rPr>
        <w:t xml:space="preserve"> a navrženy </w:t>
      </w:r>
      <w:r w:rsidR="008965B0">
        <w:rPr>
          <w:rFonts w:cstheme="minorHAnsi"/>
          <w:color w:val="000000"/>
          <w:sz w:val="24"/>
          <w:szCs w:val="24"/>
          <w:shd w:val="clear" w:color="auto" w:fill="FFFFFF"/>
        </w:rPr>
        <w:t xml:space="preserve">mu </w:t>
      </w:r>
      <w:r w:rsidR="00A2201B">
        <w:rPr>
          <w:rFonts w:cstheme="minorHAnsi"/>
          <w:color w:val="000000"/>
          <w:sz w:val="24"/>
          <w:szCs w:val="24"/>
          <w:shd w:val="clear" w:color="auto" w:fill="FFFFFF"/>
        </w:rPr>
        <w:t>byly pozemky ve výměře 260 425 m</w:t>
      </w:r>
      <w:r w:rsidR="00A2201B" w:rsidRPr="00A2201B">
        <w:rPr>
          <w:rFonts w:cstheme="minorHAnsi"/>
          <w:color w:val="000000"/>
          <w:sz w:val="24"/>
          <w:szCs w:val="24"/>
          <w:shd w:val="clear" w:color="auto" w:fill="FFFFFF"/>
          <w:vertAlign w:val="superscript"/>
        </w:rPr>
        <w:t>2</w:t>
      </w:r>
      <w:r w:rsidR="00A2201B">
        <w:rPr>
          <w:rFonts w:cstheme="minorHAnsi"/>
          <w:color w:val="000000"/>
          <w:sz w:val="24"/>
          <w:szCs w:val="24"/>
          <w:shd w:val="clear" w:color="auto" w:fill="FFFFFF"/>
        </w:rPr>
        <w:t>. Cena nově navržených pozemků pak ve zjednodušeném ocenění dle bonity vzrostla o 0,7 %.</w:t>
      </w:r>
      <w:r w:rsidR="00CB1B14">
        <w:rPr>
          <w:rFonts w:cstheme="minorHAnsi"/>
          <w:color w:val="000000"/>
          <w:sz w:val="24"/>
          <w:szCs w:val="24"/>
          <w:shd w:val="clear" w:color="auto" w:fill="FFFFFF"/>
        </w:rPr>
        <w:t xml:space="preserve"> Mapa soutisku původního (černá linie a modrá šrafa) a nově navrženého stavu (červená linie a oranžová šrafa) je součástí přílohy.</w:t>
      </w:r>
    </w:p>
    <w:p w14:paraId="1C88BD4F" w14:textId="6C90D62E" w:rsidR="00B61742" w:rsidRDefault="008965B0" w:rsidP="008965B0">
      <w:pPr>
        <w:jc w:val="both"/>
        <w:rPr>
          <w:sz w:val="24"/>
          <w:szCs w:val="24"/>
        </w:rPr>
      </w:pPr>
      <w:r w:rsidRPr="008965B0">
        <w:rPr>
          <w:sz w:val="24"/>
          <w:szCs w:val="24"/>
        </w:rPr>
        <w:t>Co se týče vlastního</w:t>
      </w:r>
      <w:r>
        <w:rPr>
          <w:sz w:val="24"/>
          <w:szCs w:val="24"/>
        </w:rPr>
        <w:t xml:space="preserve"> návrhu, ten byl proveden dle odsouhlaseného plánu společných zařízení, kdy na základě </w:t>
      </w:r>
      <w:r w:rsidR="00B61742">
        <w:rPr>
          <w:sz w:val="24"/>
          <w:szCs w:val="24"/>
        </w:rPr>
        <w:t xml:space="preserve">požadavků </w:t>
      </w:r>
      <w:r>
        <w:rPr>
          <w:sz w:val="24"/>
          <w:szCs w:val="24"/>
        </w:rPr>
        <w:t>p. Vinkláře a po dohodě se sborem zástupců byly p. Vinkláři ve</w:t>
      </w:r>
      <w:r w:rsidR="00B61742">
        <w:rPr>
          <w:sz w:val="24"/>
          <w:szCs w:val="24"/>
        </w:rPr>
        <w:t> </w:t>
      </w:r>
      <w:r>
        <w:rPr>
          <w:sz w:val="24"/>
          <w:szCs w:val="24"/>
        </w:rPr>
        <w:t>vlastnictví ponechány pozemky stávajících polních cest, které nemají zásadní vliv na</w:t>
      </w:r>
      <w:r w:rsidR="00B61742">
        <w:rPr>
          <w:sz w:val="24"/>
          <w:szCs w:val="24"/>
        </w:rPr>
        <w:t> </w:t>
      </w:r>
      <w:r>
        <w:rPr>
          <w:sz w:val="24"/>
          <w:szCs w:val="24"/>
        </w:rPr>
        <w:t>prostupnost krajiny</w:t>
      </w:r>
      <w:r w:rsidR="00CD1A59">
        <w:rPr>
          <w:sz w:val="24"/>
          <w:szCs w:val="24"/>
        </w:rPr>
        <w:t xml:space="preserve"> a přístupnost nemovitostí dalších vlastníků</w:t>
      </w:r>
      <w:r>
        <w:rPr>
          <w:sz w:val="24"/>
          <w:szCs w:val="24"/>
        </w:rPr>
        <w:t>, tj. cesta HC24 a cesta HC</w:t>
      </w:r>
      <w:r w:rsidR="00DE5D32">
        <w:rPr>
          <w:sz w:val="24"/>
          <w:szCs w:val="24"/>
        </w:rPr>
        <w:t>75</w:t>
      </w:r>
      <w:r>
        <w:rPr>
          <w:sz w:val="24"/>
          <w:szCs w:val="24"/>
        </w:rPr>
        <w:t>.</w:t>
      </w:r>
      <w:r w:rsidR="00DE5D32">
        <w:rPr>
          <w:sz w:val="24"/>
          <w:szCs w:val="24"/>
        </w:rPr>
        <w:t xml:space="preserve"> </w:t>
      </w:r>
    </w:p>
    <w:p w14:paraId="0DDBA2BC" w14:textId="74A526A2" w:rsidR="00B61742" w:rsidRPr="004B7EE8" w:rsidRDefault="00B61742" w:rsidP="008965B0">
      <w:pPr>
        <w:jc w:val="both"/>
        <w:rPr>
          <w:b/>
          <w:bCs/>
          <w:sz w:val="24"/>
          <w:szCs w:val="24"/>
        </w:rPr>
      </w:pPr>
      <w:r w:rsidRPr="004B7EE8">
        <w:rPr>
          <w:b/>
          <w:bCs/>
          <w:sz w:val="24"/>
          <w:szCs w:val="24"/>
        </w:rPr>
        <w:t>Ve vztahu k LV280 došlo k majetkoprávnímu vypořádání do vlastnictví obce u těchto cest:</w:t>
      </w:r>
    </w:p>
    <w:p w14:paraId="47BD93BF" w14:textId="690EDA04" w:rsidR="008965B0" w:rsidRDefault="00B61742" w:rsidP="00B61742">
      <w:pPr>
        <w:pStyle w:val="Odstavecseseznamem"/>
        <w:numPr>
          <w:ilvl w:val="0"/>
          <w:numId w:val="1"/>
        </w:numPr>
        <w:jc w:val="both"/>
        <w:rPr>
          <w:sz w:val="24"/>
          <w:szCs w:val="24"/>
        </w:rPr>
      </w:pPr>
      <w:r w:rsidRPr="00CD1A59">
        <w:rPr>
          <w:b/>
          <w:bCs/>
          <w:sz w:val="24"/>
          <w:szCs w:val="24"/>
        </w:rPr>
        <w:t>HC53</w:t>
      </w:r>
      <w:r>
        <w:rPr>
          <w:sz w:val="24"/>
          <w:szCs w:val="24"/>
        </w:rPr>
        <w:t xml:space="preserve"> – vede</w:t>
      </w:r>
      <w:r w:rsidRPr="00B61742">
        <w:rPr>
          <w:sz w:val="24"/>
          <w:szCs w:val="24"/>
        </w:rPr>
        <w:t xml:space="preserve"> podél železnice a </w:t>
      </w:r>
      <w:r w:rsidR="004B7EE8">
        <w:rPr>
          <w:sz w:val="24"/>
          <w:szCs w:val="24"/>
        </w:rPr>
        <w:t xml:space="preserve">kromě nemovitosti p. Vinkláře </w:t>
      </w:r>
      <w:r w:rsidRPr="00B61742">
        <w:rPr>
          <w:sz w:val="24"/>
          <w:szCs w:val="24"/>
        </w:rPr>
        <w:t>zpřístupňuje i nemovitost</w:t>
      </w:r>
      <w:r>
        <w:rPr>
          <w:sz w:val="24"/>
          <w:szCs w:val="24"/>
        </w:rPr>
        <w:t>i</w:t>
      </w:r>
      <w:r w:rsidRPr="00B61742">
        <w:rPr>
          <w:sz w:val="24"/>
          <w:szCs w:val="24"/>
        </w:rPr>
        <w:t xml:space="preserve"> dalších vlastníků. </w:t>
      </w:r>
    </w:p>
    <w:p w14:paraId="2C41F7F3" w14:textId="0BFAFBE2" w:rsidR="004B7EE8" w:rsidRPr="004B7EE8" w:rsidRDefault="004B7EE8" w:rsidP="004B7EE8">
      <w:pPr>
        <w:jc w:val="center"/>
        <w:rPr>
          <w:sz w:val="24"/>
          <w:szCs w:val="24"/>
        </w:rPr>
      </w:pPr>
      <w:r w:rsidRPr="004B7EE8">
        <w:rPr>
          <w:sz w:val="24"/>
          <w:szCs w:val="24"/>
        </w:rPr>
        <w:drawing>
          <wp:inline distT="0" distB="0" distL="0" distR="0" wp14:anchorId="369DC111" wp14:editId="0263260F">
            <wp:extent cx="3790950" cy="3082299"/>
            <wp:effectExtent l="0" t="0" r="0" b="3810"/>
            <wp:docPr id="119950749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50749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08347" cy="309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A2FFA" w14:textId="77777777" w:rsidR="00E35060" w:rsidRPr="00B61742" w:rsidRDefault="00E35060" w:rsidP="00E35060">
      <w:pPr>
        <w:pStyle w:val="Odstavecseseznamem"/>
        <w:jc w:val="both"/>
        <w:rPr>
          <w:sz w:val="24"/>
          <w:szCs w:val="24"/>
        </w:rPr>
      </w:pPr>
    </w:p>
    <w:p w14:paraId="7A36591D" w14:textId="17C5B5A6" w:rsidR="00E35060" w:rsidRPr="004B7EE8" w:rsidRDefault="00E35060" w:rsidP="00E35060">
      <w:pPr>
        <w:pStyle w:val="Odstavecseseznamem"/>
        <w:numPr>
          <w:ilvl w:val="0"/>
          <w:numId w:val="1"/>
        </w:numPr>
        <w:jc w:val="both"/>
        <w:rPr>
          <w:b/>
          <w:bCs/>
          <w:sz w:val="24"/>
          <w:szCs w:val="24"/>
        </w:rPr>
      </w:pPr>
      <w:r w:rsidRPr="0089672C">
        <w:rPr>
          <w:b/>
          <w:bCs/>
          <w:sz w:val="24"/>
          <w:szCs w:val="24"/>
        </w:rPr>
        <w:t>HC36-R</w:t>
      </w:r>
      <w:r>
        <w:rPr>
          <w:sz w:val="24"/>
          <w:szCs w:val="24"/>
        </w:rPr>
        <w:t xml:space="preserve"> – jedná se o klíčovou cestu jihozápadní části Libštátu. Její význam spočívá ve zpřístupnění </w:t>
      </w:r>
      <w:r>
        <w:rPr>
          <w:sz w:val="24"/>
          <w:szCs w:val="24"/>
        </w:rPr>
        <w:t>nemovitostí na Bryndově</w:t>
      </w:r>
      <w:r>
        <w:rPr>
          <w:sz w:val="24"/>
          <w:szCs w:val="24"/>
        </w:rPr>
        <w:t>, prostupnosti krajiny, ale i přístupnosti krajiny pro </w:t>
      </w:r>
      <w:r>
        <w:rPr>
          <w:sz w:val="24"/>
          <w:szCs w:val="24"/>
        </w:rPr>
        <w:t>z</w:t>
      </w:r>
      <w:r>
        <w:rPr>
          <w:sz w:val="24"/>
          <w:szCs w:val="24"/>
        </w:rPr>
        <w:t>emědělskou techniku. Délka cesty přesahuje 2,5 km</w:t>
      </w:r>
      <w:r>
        <w:rPr>
          <w:sz w:val="24"/>
          <w:szCs w:val="24"/>
        </w:rPr>
        <w:t xml:space="preserve">. Cesta dnes z velké části vede po soukromých pozemcích. Všichni dotčení vlastníci s vypořádáním cesty do vlastnictví obce v rámci pozemkových úprav souhlasili. </w:t>
      </w:r>
    </w:p>
    <w:p w14:paraId="1479B563" w14:textId="1CE48C21" w:rsidR="004B7EE8" w:rsidRPr="004B7EE8" w:rsidRDefault="004B7EE8" w:rsidP="004B7EE8">
      <w:pPr>
        <w:ind w:left="360"/>
        <w:jc w:val="both"/>
        <w:rPr>
          <w:b/>
          <w:bCs/>
          <w:sz w:val="24"/>
          <w:szCs w:val="24"/>
        </w:rPr>
      </w:pPr>
      <w:r w:rsidRPr="004B7EE8">
        <w:rPr>
          <w:b/>
          <w:bCs/>
          <w:sz w:val="24"/>
          <w:szCs w:val="24"/>
        </w:rPr>
        <w:drawing>
          <wp:inline distT="0" distB="0" distL="0" distR="0" wp14:anchorId="06E087FD" wp14:editId="6ECD98A6">
            <wp:extent cx="5468113" cy="4058216"/>
            <wp:effectExtent l="0" t="0" r="0" b="0"/>
            <wp:docPr id="157030064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30064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68113" cy="405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E8124" w14:textId="77777777" w:rsidR="00E35060" w:rsidRPr="00E35060" w:rsidRDefault="00E35060" w:rsidP="00E35060">
      <w:pPr>
        <w:pStyle w:val="Odstavecseseznamem"/>
        <w:jc w:val="both"/>
        <w:rPr>
          <w:sz w:val="24"/>
          <w:szCs w:val="24"/>
        </w:rPr>
      </w:pPr>
    </w:p>
    <w:p w14:paraId="45B8FC91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6AE9F108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7F224979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2EABB14B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7A0924EE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21C8B1D2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4AA0D450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233C87AC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41894095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385CF842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3DEFABF8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10DDD521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7DAC7DD3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5E1BB5EF" w14:textId="77777777" w:rsid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18414CA2" w14:textId="77777777" w:rsidR="004B7EE8" w:rsidRPr="004B7EE8" w:rsidRDefault="004B7EE8" w:rsidP="004B7EE8">
      <w:pPr>
        <w:pStyle w:val="Odstavecseseznamem"/>
        <w:jc w:val="both"/>
        <w:rPr>
          <w:sz w:val="24"/>
          <w:szCs w:val="24"/>
        </w:rPr>
      </w:pPr>
    </w:p>
    <w:p w14:paraId="338E5755" w14:textId="60660ACB" w:rsidR="00E35060" w:rsidRPr="004B7EE8" w:rsidRDefault="00B61742" w:rsidP="00E35060">
      <w:pPr>
        <w:pStyle w:val="Odstavecseseznamem"/>
        <w:numPr>
          <w:ilvl w:val="0"/>
          <w:numId w:val="1"/>
        </w:numPr>
        <w:jc w:val="both"/>
        <w:rPr>
          <w:sz w:val="24"/>
          <w:szCs w:val="24"/>
        </w:rPr>
      </w:pPr>
      <w:r w:rsidRPr="004B7EE8">
        <w:rPr>
          <w:b/>
          <w:bCs/>
          <w:sz w:val="24"/>
          <w:szCs w:val="24"/>
        </w:rPr>
        <w:lastRenderedPageBreak/>
        <w:t>VC48-R</w:t>
      </w:r>
      <w:r w:rsidRPr="004B7EE8">
        <w:rPr>
          <w:sz w:val="24"/>
          <w:szCs w:val="24"/>
        </w:rPr>
        <w:t xml:space="preserve"> – navazuje na nově navrženou cestu VC55. Tato cesta není v současné době parcelně vymezena, resp. historicky vedla po parcele KN2281, která je ve vlastnictví LV111. </w:t>
      </w:r>
      <w:r w:rsidR="00E35060" w:rsidRPr="004B7EE8">
        <w:rPr>
          <w:sz w:val="24"/>
          <w:szCs w:val="24"/>
        </w:rPr>
        <w:t xml:space="preserve">Parcela KN2281 je využívána p. Vinklářem pro zemědělské účely. </w:t>
      </w:r>
      <w:r w:rsidR="00CD1A59" w:rsidRPr="004B7EE8">
        <w:rPr>
          <w:sz w:val="24"/>
          <w:szCs w:val="24"/>
        </w:rPr>
        <w:t xml:space="preserve">Cesta </w:t>
      </w:r>
      <w:r w:rsidR="00E35060" w:rsidRPr="004B7EE8">
        <w:rPr>
          <w:sz w:val="24"/>
          <w:szCs w:val="24"/>
        </w:rPr>
        <w:t xml:space="preserve">VC48-R </w:t>
      </w:r>
      <w:r w:rsidR="00CD1A59" w:rsidRPr="004B7EE8">
        <w:rPr>
          <w:sz w:val="24"/>
          <w:szCs w:val="24"/>
        </w:rPr>
        <w:t>je zásadní pro zajištění hospodářského využití zemědělských pozemků. Všichni ostatní dotčení vlastníci s majetkoprávním vypořádáním souhlasí.</w:t>
      </w:r>
      <w:r w:rsidR="004B7EE8" w:rsidRPr="004B7EE8">
        <w:rPr>
          <w:sz w:val="24"/>
          <w:szCs w:val="24"/>
        </w:rPr>
        <w:t xml:space="preserve"> Situace cesty je patrná z obrázku níže.</w:t>
      </w:r>
    </w:p>
    <w:p w14:paraId="38C9DF75" w14:textId="77777777" w:rsidR="00E35060" w:rsidRDefault="00E35060" w:rsidP="00E35060">
      <w:pPr>
        <w:pStyle w:val="Odstavecseseznamem"/>
        <w:jc w:val="both"/>
        <w:rPr>
          <w:sz w:val="24"/>
          <w:szCs w:val="24"/>
        </w:rPr>
      </w:pPr>
    </w:p>
    <w:p w14:paraId="01FFDF53" w14:textId="3CE8D342" w:rsidR="00E35060" w:rsidRDefault="00E35060" w:rsidP="00E35060">
      <w:pPr>
        <w:ind w:left="360"/>
        <w:jc w:val="center"/>
        <w:rPr>
          <w:sz w:val="24"/>
          <w:szCs w:val="24"/>
        </w:rPr>
      </w:pPr>
      <w:r w:rsidRPr="00E35060">
        <w:rPr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4AFD5322" wp14:editId="2EF5D086">
            <wp:simplePos x="0" y="0"/>
            <wp:positionH relativeFrom="column">
              <wp:posOffset>405130</wp:posOffset>
            </wp:positionH>
            <wp:positionV relativeFrom="paragraph">
              <wp:posOffset>-4445</wp:posOffset>
            </wp:positionV>
            <wp:extent cx="5181600" cy="3536648"/>
            <wp:effectExtent l="0" t="0" r="0" b="6985"/>
            <wp:wrapTight wrapText="bothSides">
              <wp:wrapPolygon edited="0">
                <wp:start x="0" y="0"/>
                <wp:lineTo x="0" y="21526"/>
                <wp:lineTo x="21521" y="21526"/>
                <wp:lineTo x="21521" y="0"/>
                <wp:lineTo x="0" y="0"/>
              </wp:wrapPolygon>
            </wp:wrapTight>
            <wp:docPr id="147824959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249597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536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570A58" w14:textId="77777777" w:rsidR="00E35060" w:rsidRPr="00E35060" w:rsidRDefault="00E35060" w:rsidP="00E35060">
      <w:pPr>
        <w:ind w:left="360"/>
        <w:jc w:val="both"/>
        <w:rPr>
          <w:sz w:val="24"/>
          <w:szCs w:val="24"/>
        </w:rPr>
      </w:pPr>
    </w:p>
    <w:sectPr w:rsidR="00E35060" w:rsidRPr="00E35060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45BFF6" w14:textId="77777777" w:rsidR="008B0646" w:rsidRDefault="008B0646" w:rsidP="005E5A14">
      <w:pPr>
        <w:spacing w:after="0" w:line="240" w:lineRule="auto"/>
      </w:pPr>
      <w:r>
        <w:separator/>
      </w:r>
    </w:p>
  </w:endnote>
  <w:endnote w:type="continuationSeparator" w:id="0">
    <w:p w14:paraId="615BE62E" w14:textId="77777777" w:rsidR="008B0646" w:rsidRDefault="008B0646" w:rsidP="005E5A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691496038"/>
      <w:docPartObj>
        <w:docPartGallery w:val="Page Numbers (Bottom of Page)"/>
        <w:docPartUnique/>
      </w:docPartObj>
    </w:sdtPr>
    <w:sdtContent>
      <w:p w14:paraId="15DF3D2B" w14:textId="6793CAE1" w:rsidR="005E5A14" w:rsidRDefault="005E5A14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3D67DE2" w14:textId="77777777" w:rsidR="005E5A14" w:rsidRDefault="005E5A1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ED50BC" w14:textId="77777777" w:rsidR="008B0646" w:rsidRDefault="008B0646" w:rsidP="005E5A14">
      <w:pPr>
        <w:spacing w:after="0" w:line="240" w:lineRule="auto"/>
      </w:pPr>
      <w:r>
        <w:separator/>
      </w:r>
    </w:p>
  </w:footnote>
  <w:footnote w:type="continuationSeparator" w:id="0">
    <w:p w14:paraId="127112A4" w14:textId="77777777" w:rsidR="008B0646" w:rsidRDefault="008B0646" w:rsidP="005E5A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61C525E"/>
    <w:multiLevelType w:val="hybridMultilevel"/>
    <w:tmpl w:val="CCC404F0"/>
    <w:lvl w:ilvl="0" w:tplc="EE54A09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67489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150"/>
    <w:rsid w:val="00071150"/>
    <w:rsid w:val="000B196C"/>
    <w:rsid w:val="00173C1A"/>
    <w:rsid w:val="0041371F"/>
    <w:rsid w:val="004A6B62"/>
    <w:rsid w:val="004B7EE8"/>
    <w:rsid w:val="005C7985"/>
    <w:rsid w:val="005E5A14"/>
    <w:rsid w:val="008965B0"/>
    <w:rsid w:val="0089672C"/>
    <w:rsid w:val="008B0646"/>
    <w:rsid w:val="00952E70"/>
    <w:rsid w:val="00970C44"/>
    <w:rsid w:val="00A2201B"/>
    <w:rsid w:val="00B12F94"/>
    <w:rsid w:val="00B61742"/>
    <w:rsid w:val="00B64A98"/>
    <w:rsid w:val="00C2716C"/>
    <w:rsid w:val="00CB1B14"/>
    <w:rsid w:val="00CD1A59"/>
    <w:rsid w:val="00DE5D32"/>
    <w:rsid w:val="00E25AD6"/>
    <w:rsid w:val="00E35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5AB1213"/>
  <w15:chartTrackingRefBased/>
  <w15:docId w15:val="{BAFB0BD5-AA7D-4978-A7DC-15FC289CE5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semiHidden/>
    <w:unhideWhenUsed/>
    <w:rsid w:val="005C7985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B61742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5E5A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E5A14"/>
  </w:style>
  <w:style w:type="paragraph" w:styleId="Zpat">
    <w:name w:val="footer"/>
    <w:basedOn w:val="Normln"/>
    <w:link w:val="ZpatChar"/>
    <w:uiPriority w:val="99"/>
    <w:unhideWhenUsed/>
    <w:rsid w:val="005E5A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E5A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3</Pages>
  <Words>363</Words>
  <Characters>2145</Characters>
  <Application>Microsoft Office Word</Application>
  <DocSecurity>0</DocSecurity>
  <Lines>17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Zuzana Skřivanová</dc:creator>
  <cp:keywords/>
  <dc:description/>
  <cp:lastModifiedBy>Zuzana Skřivanová</cp:lastModifiedBy>
  <cp:revision>13</cp:revision>
  <dcterms:created xsi:type="dcterms:W3CDTF">2024-06-06T12:43:00Z</dcterms:created>
  <dcterms:modified xsi:type="dcterms:W3CDTF">2024-06-06T21:03:00Z</dcterms:modified>
</cp:coreProperties>
</file>